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97534" w14:textId="77777777" w:rsidR="00FE067E" w:rsidRPr="003A41AF" w:rsidRDefault="00CD36CF" w:rsidP="00CC1F3B">
      <w:pPr>
        <w:pStyle w:val="TitlePageOrigin"/>
        <w:rPr>
          <w:color w:val="auto"/>
        </w:rPr>
      </w:pPr>
      <w:r w:rsidRPr="003A41AF">
        <w:rPr>
          <w:color w:val="auto"/>
        </w:rPr>
        <w:t>WEST virginia legislature</w:t>
      </w:r>
    </w:p>
    <w:p w14:paraId="2FB20DE7" w14:textId="2F95DC32" w:rsidR="00CD36CF" w:rsidRPr="003A41AF" w:rsidRDefault="00CD36CF" w:rsidP="00CC1F3B">
      <w:pPr>
        <w:pStyle w:val="TitlePageSession"/>
        <w:rPr>
          <w:color w:val="auto"/>
        </w:rPr>
      </w:pPr>
      <w:r w:rsidRPr="003A41AF">
        <w:rPr>
          <w:color w:val="auto"/>
        </w:rPr>
        <w:t>20</w:t>
      </w:r>
      <w:r w:rsidR="007F29DD" w:rsidRPr="003A41AF">
        <w:rPr>
          <w:color w:val="auto"/>
        </w:rPr>
        <w:t>2</w:t>
      </w:r>
      <w:r w:rsidR="00B747CF" w:rsidRPr="003A41AF">
        <w:rPr>
          <w:color w:val="auto"/>
        </w:rPr>
        <w:t>4</w:t>
      </w:r>
      <w:r w:rsidRPr="003A41AF">
        <w:rPr>
          <w:color w:val="auto"/>
        </w:rPr>
        <w:t xml:space="preserve"> regular session</w:t>
      </w:r>
    </w:p>
    <w:p w14:paraId="5CCC31BB" w14:textId="27F95632" w:rsidR="00CD36CF" w:rsidRPr="003A41AF" w:rsidRDefault="00CF418B" w:rsidP="00CC1F3B">
      <w:pPr>
        <w:pStyle w:val="TitlePageBillPrefix"/>
        <w:rPr>
          <w:color w:val="auto"/>
        </w:rPr>
      </w:pPr>
      <w:sdt>
        <w:sdtPr>
          <w:rPr>
            <w:color w:val="auto"/>
          </w:rPr>
          <w:tag w:val="IntroDate"/>
          <w:id w:val="-1236936958"/>
          <w:placeholder>
            <w:docPart w:val="CFA7A565A0604290A8B055F157AD25D2"/>
          </w:placeholder>
          <w:text/>
        </w:sdtPr>
        <w:sdtEndPr/>
        <w:sdtContent>
          <w:r w:rsidR="005236DA" w:rsidRPr="003A41AF">
            <w:rPr>
              <w:color w:val="auto"/>
            </w:rPr>
            <w:t>Enrolled</w:t>
          </w:r>
        </w:sdtContent>
      </w:sdt>
    </w:p>
    <w:p w14:paraId="209CB278" w14:textId="1046D378" w:rsidR="00CD36CF" w:rsidRPr="003A41AF" w:rsidRDefault="00CF418B" w:rsidP="00CC1F3B">
      <w:pPr>
        <w:pStyle w:val="BillNumber"/>
        <w:rPr>
          <w:color w:val="auto"/>
        </w:rPr>
      </w:pPr>
      <w:sdt>
        <w:sdtPr>
          <w:rPr>
            <w:color w:val="auto"/>
          </w:rPr>
          <w:tag w:val="Chamber"/>
          <w:id w:val="893011969"/>
          <w:lock w:val="sdtLocked"/>
          <w:placeholder>
            <w:docPart w:val="BF1955DF12364AE6916A024DE5C8E275"/>
          </w:placeholder>
          <w:dropDownList>
            <w:listItem w:displayText="House" w:value="House"/>
            <w:listItem w:displayText="Senate" w:value="Senate"/>
          </w:dropDownList>
        </w:sdtPr>
        <w:sdtEndPr/>
        <w:sdtContent>
          <w:r w:rsidR="005D7E17" w:rsidRPr="003A41AF">
            <w:rPr>
              <w:color w:val="auto"/>
            </w:rPr>
            <w:t>Senate</w:t>
          </w:r>
        </w:sdtContent>
      </w:sdt>
      <w:r w:rsidR="00303684" w:rsidRPr="003A41AF">
        <w:rPr>
          <w:color w:val="auto"/>
        </w:rPr>
        <w:t xml:space="preserve"> </w:t>
      </w:r>
      <w:r w:rsidR="00CD36CF" w:rsidRPr="003A41AF">
        <w:rPr>
          <w:color w:val="auto"/>
        </w:rPr>
        <w:t xml:space="preserve">Bill </w:t>
      </w:r>
      <w:sdt>
        <w:sdtPr>
          <w:rPr>
            <w:color w:val="auto"/>
          </w:rPr>
          <w:tag w:val="BNum"/>
          <w:id w:val="1645317809"/>
          <w:lock w:val="sdtLocked"/>
          <w:placeholder>
            <w:docPart w:val="70E270310EED418FB0D358B3BC5740F7"/>
          </w:placeholder>
          <w:text/>
        </w:sdtPr>
        <w:sdtEndPr/>
        <w:sdtContent>
          <w:r w:rsidR="004F659B" w:rsidRPr="003A41AF">
            <w:rPr>
              <w:color w:val="auto"/>
            </w:rPr>
            <w:t>806</w:t>
          </w:r>
        </w:sdtContent>
      </w:sdt>
    </w:p>
    <w:p w14:paraId="36776FC6" w14:textId="2E0432E9" w:rsidR="00CD36CF" w:rsidRPr="003A41AF" w:rsidRDefault="00CD36CF" w:rsidP="00CC1F3B">
      <w:pPr>
        <w:pStyle w:val="Sponsors"/>
        <w:rPr>
          <w:color w:val="auto"/>
        </w:rPr>
      </w:pPr>
      <w:r w:rsidRPr="003A41AF">
        <w:rPr>
          <w:color w:val="auto"/>
        </w:rPr>
        <w:t xml:space="preserve">By </w:t>
      </w:r>
      <w:sdt>
        <w:sdtPr>
          <w:rPr>
            <w:color w:val="auto"/>
          </w:rPr>
          <w:tag w:val="Sponsors"/>
          <w:id w:val="1589585889"/>
          <w:placeholder>
            <w:docPart w:val="660E76B5B5A34580BDE349B9FBD7A7BD"/>
          </w:placeholder>
          <w:text w:multiLine="1"/>
        </w:sdtPr>
        <w:sdtEndPr/>
        <w:sdtContent>
          <w:r w:rsidR="00BE165B" w:rsidRPr="003A41AF">
            <w:rPr>
              <w:color w:val="auto"/>
            </w:rPr>
            <w:t>Senator Grady</w:t>
          </w:r>
        </w:sdtContent>
      </w:sdt>
    </w:p>
    <w:p w14:paraId="1F07D207" w14:textId="3D67B367" w:rsidR="00E831B3" w:rsidRPr="003A41AF" w:rsidRDefault="00CD36CF" w:rsidP="00CC1F3B">
      <w:pPr>
        <w:pStyle w:val="References"/>
        <w:rPr>
          <w:color w:val="auto"/>
        </w:rPr>
      </w:pPr>
      <w:r w:rsidRPr="003A41AF">
        <w:rPr>
          <w:color w:val="auto"/>
        </w:rPr>
        <w:t>[</w:t>
      </w:r>
      <w:r w:rsidR="005236DA" w:rsidRPr="003A41AF">
        <w:rPr>
          <w:color w:val="auto"/>
        </w:rPr>
        <w:t>Passed March 7, 2024; in effect 90 days from passage</w:t>
      </w:r>
      <w:r w:rsidRPr="003A41AF">
        <w:rPr>
          <w:color w:val="auto"/>
        </w:rPr>
        <w:t>]</w:t>
      </w:r>
    </w:p>
    <w:p w14:paraId="0A111AE2" w14:textId="7C56BB88" w:rsidR="00303684" w:rsidRPr="003A41AF" w:rsidRDefault="0000526A" w:rsidP="00CC1F3B">
      <w:pPr>
        <w:pStyle w:val="TitleSection"/>
        <w:rPr>
          <w:color w:val="auto"/>
        </w:rPr>
      </w:pPr>
      <w:r w:rsidRPr="003A41AF">
        <w:rPr>
          <w:color w:val="auto"/>
        </w:rPr>
        <w:lastRenderedPageBreak/>
        <w:t>A</w:t>
      </w:r>
      <w:r w:rsidR="005236DA" w:rsidRPr="003A41AF">
        <w:rPr>
          <w:color w:val="auto"/>
        </w:rPr>
        <w:t>N</w:t>
      </w:r>
      <w:r w:rsidR="00896562" w:rsidRPr="003A41AF">
        <w:rPr>
          <w:color w:val="auto"/>
        </w:rPr>
        <w:t xml:space="preserve"> ACT</w:t>
      </w:r>
      <w:r w:rsidR="00896562" w:rsidRPr="003A41AF">
        <w:rPr>
          <w:rFonts w:cs="Arial"/>
        </w:rPr>
        <w:t xml:space="preserve"> to amend and reenact §18-2-12 of the Code of West Virginia, 1931, as amended; to amend and reenact §18-5B-7 of said code; to repeal §18-5F-6 of said code; to repeal §18-9A-7a of said code; to amend and reenact §18-9F-8 of said code; and to amend and reenact §18A-3C-3 of said code, all relating to the Legislative Oversight Commission on Education Accountability; removing required submission of plan to implement and update computer science instruction and learning standards in the public schools; removing required submission of annual report on innovation zones and the progress of innovation zone plans; removing required report on all aspects of the program at the end of the first year a virtual instruction program is implemented; removing required report on proposed revisions to the calculation of the allowance for service personnel to provide additional funded service personnel positions for lower-population density districts covering a large geographic areas; revising School Building Authority reporting on the school access safety and crisis response article to require the authority to report annually on its duties under the article; and removing requirement for review of the progress of the implementation of the comprehensive systems of support for teacher and leader induction and professional growth</w:t>
      </w:r>
      <w:r w:rsidR="007E5311" w:rsidRPr="003A41AF">
        <w:rPr>
          <w:color w:val="auto"/>
        </w:rPr>
        <w:t>.</w:t>
      </w:r>
    </w:p>
    <w:p w14:paraId="4D40F664" w14:textId="77777777" w:rsidR="00303684" w:rsidRPr="003A41AF" w:rsidRDefault="00303684" w:rsidP="00CC1F3B">
      <w:pPr>
        <w:pStyle w:val="EnactingClause"/>
        <w:rPr>
          <w:color w:val="auto"/>
        </w:rPr>
        <w:sectPr w:rsidR="00303684" w:rsidRPr="003A41AF" w:rsidSect="00ED6F4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A41AF">
        <w:rPr>
          <w:color w:val="auto"/>
        </w:rPr>
        <w:t>Be it enacted by the Legislature of West Virginia:</w:t>
      </w:r>
    </w:p>
    <w:p w14:paraId="1371B32B" w14:textId="77777777" w:rsidR="00317CEB" w:rsidRPr="003A41AF" w:rsidRDefault="00317CEB" w:rsidP="00B42501">
      <w:pPr>
        <w:pStyle w:val="ArticleHeading"/>
        <w:rPr>
          <w:color w:val="auto"/>
        </w:rPr>
        <w:sectPr w:rsidR="00317CEB" w:rsidRPr="003A41AF" w:rsidSect="00ED6F43">
          <w:type w:val="continuous"/>
          <w:pgSz w:w="12240" w:h="15840" w:code="1"/>
          <w:pgMar w:top="1440" w:right="1440" w:bottom="1440" w:left="1440" w:header="720" w:footer="720" w:gutter="0"/>
          <w:lnNumType w:countBy="1" w:restart="newSection"/>
          <w:cols w:space="720"/>
          <w:titlePg/>
          <w:docGrid w:linePitch="360"/>
        </w:sectPr>
      </w:pPr>
      <w:r w:rsidRPr="003A41AF">
        <w:rPr>
          <w:color w:val="auto"/>
        </w:rPr>
        <w:t>ARTICLE 2. STATE BOARD OF EDUCATION.</w:t>
      </w:r>
    </w:p>
    <w:p w14:paraId="204EE303" w14:textId="77777777" w:rsidR="00317CEB" w:rsidRPr="003A41AF" w:rsidRDefault="00317CEB" w:rsidP="0045469D">
      <w:pPr>
        <w:pStyle w:val="SectionHeading"/>
        <w:rPr>
          <w:color w:val="auto"/>
        </w:rPr>
      </w:pPr>
      <w:r w:rsidRPr="003A41AF">
        <w:rPr>
          <w:color w:val="auto"/>
        </w:rPr>
        <w:t>§18-2-12. Computer science courses of instruction; learning standards; state board plan development.</w:t>
      </w:r>
    </w:p>
    <w:p w14:paraId="0D67BB77" w14:textId="77777777" w:rsidR="00317CEB" w:rsidRPr="003A41AF" w:rsidRDefault="00317CEB" w:rsidP="0045469D">
      <w:pPr>
        <w:pStyle w:val="SectionBody"/>
        <w:rPr>
          <w:color w:val="auto"/>
        </w:rPr>
        <w:sectPr w:rsidR="00317CEB" w:rsidRPr="003A41AF" w:rsidSect="00ED6F43">
          <w:type w:val="continuous"/>
          <w:pgSz w:w="12240" w:h="15840" w:code="1"/>
          <w:pgMar w:top="1440" w:right="1440" w:bottom="1440" w:left="1440" w:header="720" w:footer="720" w:gutter="0"/>
          <w:lnNumType w:countBy="1" w:restart="newSection"/>
          <w:cols w:space="720"/>
          <w:titlePg/>
          <w:docGrid w:linePitch="360"/>
        </w:sectPr>
      </w:pPr>
    </w:p>
    <w:p w14:paraId="5F8F81BF" w14:textId="77777777" w:rsidR="00317CEB" w:rsidRPr="003A41AF" w:rsidRDefault="00317CEB" w:rsidP="0045469D">
      <w:pPr>
        <w:pStyle w:val="SectionBody"/>
        <w:rPr>
          <w:color w:val="auto"/>
        </w:rPr>
      </w:pPr>
      <w:r w:rsidRPr="003A41AF">
        <w:rPr>
          <w:color w:val="auto"/>
        </w:rPr>
        <w:t>(a) Legislative findings:</w:t>
      </w:r>
    </w:p>
    <w:p w14:paraId="1F715B19" w14:textId="77777777" w:rsidR="00317CEB" w:rsidRPr="003A41AF" w:rsidRDefault="00317CEB" w:rsidP="0045469D">
      <w:pPr>
        <w:pStyle w:val="SectionBody"/>
        <w:rPr>
          <w:color w:val="auto"/>
        </w:rPr>
      </w:pPr>
      <w:r w:rsidRPr="003A41AF">
        <w:rPr>
          <w:color w:val="auto"/>
        </w:rPr>
        <w:t>(1) Computer technology increasingly is pervasive in nearly every function of society from consumer products to transportation, communications, electrical infrastructure, logistics, agriculture, medical treatments, research, security, and financial transactions;</w:t>
      </w:r>
    </w:p>
    <w:p w14:paraId="5AC09856" w14:textId="77777777" w:rsidR="00317CEB" w:rsidRPr="003A41AF" w:rsidRDefault="00317CEB" w:rsidP="0045469D">
      <w:pPr>
        <w:pStyle w:val="SectionBody"/>
        <w:rPr>
          <w:color w:val="auto"/>
        </w:rPr>
      </w:pPr>
      <w:r w:rsidRPr="003A41AF">
        <w:rPr>
          <w:color w:val="auto"/>
        </w:rPr>
        <w:t xml:space="preserve">(2) The U. S. Bureau of Labor Statistics predicts that by 2024, there will be more than 800,000 new jobs in the STEM fields and more than two thirds of these directly will be in </w:t>
      </w:r>
      <w:r w:rsidRPr="003A41AF">
        <w:rPr>
          <w:color w:val="auto"/>
        </w:rPr>
        <w:lastRenderedPageBreak/>
        <w:t>computing occupations;</w:t>
      </w:r>
    </w:p>
    <w:p w14:paraId="29A0F54F" w14:textId="77777777" w:rsidR="00317CEB" w:rsidRPr="003A41AF" w:rsidRDefault="00317CEB" w:rsidP="0045469D">
      <w:pPr>
        <w:pStyle w:val="SectionBody"/>
        <w:rPr>
          <w:color w:val="auto"/>
        </w:rPr>
      </w:pPr>
      <w:r w:rsidRPr="003A41AF">
        <w:rPr>
          <w:color w:val="auto"/>
        </w:rPr>
        <w:t>(3) Studying computer science prepares students to enter many career areas, both within and outside of computing, teaching them logical reasoning, algorithmic thinking, design, and structured problem-solving skills applicable in many contexts from science and engineering to the humanities and business;</w:t>
      </w:r>
    </w:p>
    <w:p w14:paraId="1EEF97EA" w14:textId="77777777" w:rsidR="00317CEB" w:rsidRPr="003A41AF" w:rsidRDefault="00317CEB" w:rsidP="0045469D">
      <w:pPr>
        <w:pStyle w:val="SectionBody"/>
        <w:rPr>
          <w:color w:val="auto"/>
        </w:rPr>
      </w:pPr>
      <w:r w:rsidRPr="003A41AF">
        <w:rPr>
          <w:color w:val="auto"/>
        </w:rPr>
        <w:t>(4) Computer science is an established discipline at the collegiate and post-graduate levels but, unfortunately, computer science concepts and courses have not kept pace in the K-12 curriculum, to the point that the nation faces a serious shortage of computer scientists at all levels that is likely to continue for the foreseeable future; and</w:t>
      </w:r>
    </w:p>
    <w:p w14:paraId="68A3B908" w14:textId="77777777" w:rsidR="00317CEB" w:rsidRPr="003A41AF" w:rsidRDefault="00317CEB" w:rsidP="0045469D">
      <w:pPr>
        <w:pStyle w:val="SectionBody"/>
        <w:rPr>
          <w:color w:val="auto"/>
        </w:rPr>
      </w:pPr>
      <w:r w:rsidRPr="003A41AF">
        <w:rPr>
          <w:color w:val="auto"/>
        </w:rPr>
        <w:t>(5) Organizations such as the Computer Science Teachers Association, the International Society for Technology in Education, and technology industry leaders have developed recommendations for standards, curriculum, and instructional resources for computer technology learning in K-12 schools.</w:t>
      </w:r>
    </w:p>
    <w:p w14:paraId="6BFE5D9E" w14:textId="77777777" w:rsidR="00317CEB" w:rsidRPr="003A41AF" w:rsidRDefault="00317CEB" w:rsidP="0045469D">
      <w:pPr>
        <w:pStyle w:val="SectionBody"/>
        <w:rPr>
          <w:color w:val="auto"/>
        </w:rPr>
      </w:pPr>
      <w:r w:rsidRPr="003A41AF">
        <w:rPr>
          <w:color w:val="auto"/>
        </w:rPr>
        <w:t xml:space="preserve">(6) Foundational age-appropriate instruction in the computer science field for all students beginning in elementary school with required and optional advanced computer science instruction for middle school and high school students has become an important component of a well-developed education. Computer science standards should align to relevant aspects of the field such as </w:t>
      </w:r>
      <w:bookmarkStart w:id="0" w:name="_Hlk94187672"/>
      <w:r w:rsidRPr="003A41AF">
        <w:rPr>
          <w:color w:val="auto"/>
        </w:rPr>
        <w:t>computational thinking, block-based programming, text-based programming, network communication, computer architecture,</w:t>
      </w:r>
      <w:r w:rsidRPr="003A41AF">
        <w:rPr>
          <w:rFonts w:eastAsia="PMingLiU"/>
          <w:color w:val="auto"/>
        </w:rPr>
        <w:t xml:space="preserve"> coding, application development,</w:t>
      </w:r>
      <w:r w:rsidRPr="003A41AF">
        <w:rPr>
          <w:color w:val="auto"/>
        </w:rPr>
        <w:t xml:space="preserve"> and cyber security</w:t>
      </w:r>
      <w:bookmarkEnd w:id="0"/>
      <w:r w:rsidRPr="003A41AF">
        <w:rPr>
          <w:color w:val="auto"/>
        </w:rPr>
        <w:t>. Computer science education standards should be established to ensure students have the fundamentals to be successful in a digital-driven world and the advanced knowledge to prepare them for careers in or linked to computer science.</w:t>
      </w:r>
    </w:p>
    <w:p w14:paraId="298DBB87" w14:textId="491C8304" w:rsidR="00317CEB" w:rsidRPr="003A41AF" w:rsidRDefault="00D02366" w:rsidP="0045469D">
      <w:pPr>
        <w:pStyle w:val="SectionBody"/>
        <w:rPr>
          <w:color w:val="auto"/>
        </w:rPr>
      </w:pPr>
      <w:r w:rsidRPr="003A41AF">
        <w:rPr>
          <w:color w:val="auto"/>
        </w:rPr>
        <w:t xml:space="preserve">(b) </w:t>
      </w:r>
      <w:r w:rsidR="00317CEB" w:rsidRPr="003A41AF">
        <w:rPr>
          <w:color w:val="auto"/>
        </w:rPr>
        <w:t>Nothing in this section requires adoption or implementation of any specific recommendation or any level of appropriation by the Legislature.</w:t>
      </w:r>
    </w:p>
    <w:p w14:paraId="3D600143" w14:textId="65DAFF80" w:rsidR="00317CEB" w:rsidRPr="003A41AF" w:rsidRDefault="00D02366" w:rsidP="0045469D">
      <w:pPr>
        <w:pStyle w:val="SectionBody"/>
        <w:rPr>
          <w:color w:val="auto"/>
        </w:rPr>
      </w:pPr>
      <w:r w:rsidRPr="003A41AF">
        <w:rPr>
          <w:color w:val="auto"/>
        </w:rPr>
        <w:t xml:space="preserve">(c) </w:t>
      </w:r>
      <w:r w:rsidR="00317CEB" w:rsidRPr="003A41AF">
        <w:rPr>
          <w:color w:val="auto"/>
        </w:rPr>
        <w:t xml:space="preserve">Recognizing the importance of computer science instruction and how computer science instruction will assist students in their transition to post-secondary opportunities, the state </w:t>
      </w:r>
      <w:r w:rsidR="00317CEB" w:rsidRPr="003A41AF">
        <w:rPr>
          <w:color w:val="auto"/>
        </w:rPr>
        <w:lastRenderedPageBreak/>
        <w:t xml:space="preserve">board shall adopt a policy detailing the appropriate level of computer science instruction that shall be available to students at each programmatic level.  </w:t>
      </w:r>
    </w:p>
    <w:p w14:paraId="271D2B4D" w14:textId="1D88C38B" w:rsidR="00317CEB" w:rsidRPr="003A41AF" w:rsidRDefault="00D02366" w:rsidP="0045469D">
      <w:pPr>
        <w:pStyle w:val="SectionBody"/>
        <w:rPr>
          <w:color w:val="auto"/>
        </w:rPr>
      </w:pPr>
      <w:r w:rsidRPr="003A41AF">
        <w:rPr>
          <w:color w:val="auto"/>
        </w:rPr>
        <w:t xml:space="preserve">(d) </w:t>
      </w:r>
      <w:r w:rsidR="00317CEB" w:rsidRPr="003A41AF">
        <w:rPr>
          <w:color w:val="auto"/>
        </w:rPr>
        <w:t>The West Virginia Department of Education shall develop and offer professional development opportunities to ensure educators are equipped with the requisite knowledge and skill to deliver computer science instruction as outlined in this section. The department may partner with high-quality computer science professional learning providers in developing and offering the professional development opportunities.</w:t>
      </w:r>
    </w:p>
    <w:p w14:paraId="4BF6910D" w14:textId="77777777" w:rsidR="00317CEB" w:rsidRPr="003A41AF" w:rsidRDefault="00317CEB" w:rsidP="00CC1F3B">
      <w:pPr>
        <w:pStyle w:val="SectionBody"/>
        <w:rPr>
          <w:color w:val="auto"/>
        </w:rPr>
        <w:sectPr w:rsidR="00317CEB" w:rsidRPr="003A41AF" w:rsidSect="00ED6F43">
          <w:type w:val="continuous"/>
          <w:pgSz w:w="12240" w:h="15840" w:code="1"/>
          <w:pgMar w:top="1440" w:right="1440" w:bottom="1440" w:left="1440" w:header="720" w:footer="720" w:gutter="0"/>
          <w:lnNumType w:countBy="1" w:restart="newSection"/>
          <w:cols w:space="720"/>
          <w:titlePg/>
          <w:docGrid w:linePitch="360"/>
        </w:sectPr>
      </w:pPr>
    </w:p>
    <w:p w14:paraId="4F45313B" w14:textId="77777777" w:rsidR="00317CEB" w:rsidRPr="003A41AF" w:rsidRDefault="00317CEB" w:rsidP="008D1885">
      <w:pPr>
        <w:pStyle w:val="ArticleHeading"/>
        <w:rPr>
          <w:color w:val="auto"/>
        </w:rPr>
        <w:sectPr w:rsidR="00317CEB" w:rsidRPr="003A41AF" w:rsidSect="00ED6F43">
          <w:type w:val="continuous"/>
          <w:pgSz w:w="12240" w:h="15840" w:code="1"/>
          <w:pgMar w:top="1440" w:right="1440" w:bottom="1440" w:left="1440" w:header="720" w:footer="720" w:gutter="0"/>
          <w:lnNumType w:countBy="1" w:restart="newSection"/>
          <w:cols w:space="720"/>
          <w:titlePg/>
          <w:docGrid w:linePitch="360"/>
        </w:sectPr>
      </w:pPr>
      <w:r w:rsidRPr="003A41AF">
        <w:rPr>
          <w:color w:val="auto"/>
        </w:rPr>
        <w:t>ARTICLE 5B. SCHOOL INNOVATION ZONES ACT.</w:t>
      </w:r>
    </w:p>
    <w:p w14:paraId="11696878" w14:textId="77777777" w:rsidR="00317CEB" w:rsidRPr="003A41AF" w:rsidRDefault="00317CEB" w:rsidP="005D4AD8">
      <w:pPr>
        <w:pStyle w:val="SectionHeading"/>
        <w:rPr>
          <w:color w:val="auto"/>
        </w:rPr>
      </w:pPr>
      <w:r w:rsidRPr="003A41AF">
        <w:rPr>
          <w:color w:val="auto"/>
        </w:rPr>
        <w:t>§18-5B-7. Progress reviews and annual reports.</w:t>
      </w:r>
    </w:p>
    <w:p w14:paraId="59ACBCAC" w14:textId="132A3A61" w:rsidR="00317CEB" w:rsidRPr="003A41AF" w:rsidRDefault="00317CEB" w:rsidP="005D4AD8">
      <w:pPr>
        <w:pStyle w:val="SectionBody"/>
        <w:rPr>
          <w:color w:val="auto"/>
        </w:rPr>
      </w:pPr>
      <w:r w:rsidRPr="003A41AF">
        <w:rPr>
          <w:color w:val="auto"/>
        </w:rPr>
        <w:t>At least annually, the state board or its designated committee shall review the progress of the development or implementation of an innovation zone plan. If, following such a review, the state board determines that a designated school, group of schools, subdivision or department of a group of schools, subdivision or department of a school or a school created by a state institution of higher education in accordance with section nine of this article has not made adequate progress toward developing or implementing its plan, the board shall submit a report to the designated school, group of schools, subdivision or department of a group of schools, subdivision or department of a school or a school created by a state institution of higher education in accordance with section nine of this article identifying its areas of concern. The state board or its designated committee may conduct an additional review within six months of submitting a report in accordance with this section. If, following such additional review, the state board or its designated committee determines that the designated school, group of schools, subdivision or department of a group of schools, subdivision or department of a school or a school created by a state institution of higher education in accordance with section nine of this article has not made adequate progress toward developing or implementing its innovation zone plan, the state board may revoke the designation as an innovation zone or, if the innovation zone plan has been approved in accordance with section five of this article, rescind its approval of the plan.</w:t>
      </w:r>
    </w:p>
    <w:p w14:paraId="1FE668D1" w14:textId="77777777" w:rsidR="00317CEB" w:rsidRPr="003A41AF" w:rsidRDefault="00317CEB" w:rsidP="00FD0305">
      <w:pPr>
        <w:pStyle w:val="ArticleHeading"/>
        <w:rPr>
          <w:color w:val="auto"/>
        </w:rPr>
      </w:pPr>
      <w:r w:rsidRPr="003A41AF">
        <w:rPr>
          <w:color w:val="auto"/>
        </w:rPr>
        <w:lastRenderedPageBreak/>
        <w:t>ARTICLE 5F. ACCESSIBILITY AND EQUITY IN PUBLIC EDUCATION ENHANCEMENT Act.</w:t>
      </w:r>
    </w:p>
    <w:p w14:paraId="215320E7" w14:textId="7E963DAA" w:rsidR="00317CEB" w:rsidRPr="003A41AF" w:rsidRDefault="00317CEB" w:rsidP="00E27F03">
      <w:pPr>
        <w:pStyle w:val="SectionHeading"/>
        <w:rPr>
          <w:rFonts w:cs="Times New Roman"/>
          <w:color w:val="auto"/>
        </w:rPr>
        <w:sectPr w:rsidR="00317CEB" w:rsidRPr="003A41AF" w:rsidSect="00ED6F43">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3A41AF">
        <w:rPr>
          <w:color w:val="auto"/>
        </w:rPr>
        <w:t>§18-5F-6.  Report to Legislative Oversight Commission on Education Accountability.</w:t>
      </w:r>
    </w:p>
    <w:p w14:paraId="08694452" w14:textId="17E73E1C" w:rsidR="00317CEB" w:rsidRPr="003A41AF" w:rsidRDefault="00E27F03" w:rsidP="00CC1F3B">
      <w:pPr>
        <w:pStyle w:val="SectionBody"/>
        <w:rPr>
          <w:color w:val="auto"/>
        </w:rPr>
      </w:pPr>
      <w:r w:rsidRPr="003A41AF">
        <w:rPr>
          <w:color w:val="auto"/>
        </w:rPr>
        <w:t>[Repealed.]</w:t>
      </w:r>
    </w:p>
    <w:p w14:paraId="245EBC6F" w14:textId="77777777" w:rsidR="00F5274D" w:rsidRPr="003A41AF" w:rsidRDefault="00F5274D" w:rsidP="00CC1F3B">
      <w:pPr>
        <w:pStyle w:val="SectionBody"/>
        <w:rPr>
          <w:color w:val="auto"/>
        </w:rPr>
        <w:sectPr w:rsidR="00F5274D" w:rsidRPr="003A41AF" w:rsidSect="00ED6F43">
          <w:type w:val="continuous"/>
          <w:pgSz w:w="12240" w:h="15840" w:code="1"/>
          <w:pgMar w:top="1440" w:right="1440" w:bottom="1440" w:left="1440" w:header="720" w:footer="720" w:gutter="0"/>
          <w:lnNumType w:countBy="1" w:restart="newSection"/>
          <w:cols w:space="720"/>
          <w:titlePg/>
          <w:docGrid w:linePitch="360"/>
        </w:sectPr>
      </w:pPr>
    </w:p>
    <w:p w14:paraId="7F0DFF4F" w14:textId="77777777" w:rsidR="00F5274D" w:rsidRPr="003A41AF" w:rsidRDefault="00F5274D" w:rsidP="0004055C">
      <w:pPr>
        <w:pStyle w:val="ArticleHeading"/>
        <w:rPr>
          <w:color w:val="auto"/>
        </w:rPr>
        <w:sectPr w:rsidR="00F5274D" w:rsidRPr="003A41AF" w:rsidSect="00ED6F43">
          <w:type w:val="continuous"/>
          <w:pgSz w:w="12240" w:h="15840" w:code="1"/>
          <w:pgMar w:top="1440" w:right="1440" w:bottom="1440" w:left="1440" w:header="720" w:footer="720" w:gutter="0"/>
          <w:lnNumType w:countBy="1" w:restart="newSection"/>
          <w:cols w:space="720"/>
          <w:titlePg/>
          <w:docGrid w:linePitch="360"/>
        </w:sectPr>
      </w:pPr>
      <w:r w:rsidRPr="003A41AF">
        <w:rPr>
          <w:color w:val="auto"/>
        </w:rPr>
        <w:t>ARTICLE 9A. PUBLIC SCHOOL SUPPORT.</w:t>
      </w:r>
    </w:p>
    <w:p w14:paraId="550F0DF1" w14:textId="77777777" w:rsidR="00F5274D" w:rsidRPr="003A41AF" w:rsidRDefault="00F5274D" w:rsidP="00CB215A">
      <w:pPr>
        <w:pStyle w:val="SectionHeading"/>
        <w:rPr>
          <w:color w:val="auto"/>
        </w:rPr>
      </w:pPr>
      <w:r w:rsidRPr="003A41AF">
        <w:rPr>
          <w:color w:val="auto"/>
        </w:rPr>
        <w:t>§18-9A-7a.  Report on alternate method for funding student transportation costs required.</w:t>
      </w:r>
    </w:p>
    <w:p w14:paraId="3D96B543" w14:textId="77777777" w:rsidR="00F5274D" w:rsidRPr="003A41AF" w:rsidRDefault="00F5274D" w:rsidP="00CB215A">
      <w:pPr>
        <w:pStyle w:val="SectionBody"/>
        <w:rPr>
          <w:color w:val="auto"/>
        </w:rPr>
        <w:sectPr w:rsidR="00F5274D" w:rsidRPr="003A41AF" w:rsidSect="00ED6F43">
          <w:type w:val="continuous"/>
          <w:pgSz w:w="12240" w:h="15840" w:code="1"/>
          <w:pgMar w:top="1440" w:right="1440" w:bottom="1440" w:left="1440" w:header="720" w:footer="720" w:gutter="0"/>
          <w:lnNumType w:countBy="1" w:restart="newSection"/>
          <w:cols w:space="720"/>
          <w:titlePg/>
          <w:docGrid w:linePitch="360"/>
        </w:sectPr>
      </w:pPr>
    </w:p>
    <w:p w14:paraId="00983F0C" w14:textId="773CC272" w:rsidR="00ED6F43" w:rsidRPr="003A41AF" w:rsidRDefault="0075550A" w:rsidP="00CC1F3B">
      <w:pPr>
        <w:pStyle w:val="SectionBody"/>
        <w:rPr>
          <w:color w:val="auto"/>
        </w:rPr>
      </w:pPr>
      <w:r w:rsidRPr="003A41AF">
        <w:rPr>
          <w:color w:val="auto"/>
        </w:rPr>
        <w:t>[Repealed.]</w:t>
      </w:r>
    </w:p>
    <w:p w14:paraId="6BB76A53" w14:textId="77777777" w:rsidR="00ED6F43" w:rsidRPr="003A41AF" w:rsidRDefault="00ED6F43" w:rsidP="00CC1F3B">
      <w:pPr>
        <w:pStyle w:val="SectionBody"/>
        <w:rPr>
          <w:color w:val="auto"/>
        </w:rPr>
        <w:sectPr w:rsidR="00ED6F43" w:rsidRPr="003A41AF" w:rsidSect="00ED6F43">
          <w:type w:val="continuous"/>
          <w:pgSz w:w="12240" w:h="15840" w:code="1"/>
          <w:pgMar w:top="1440" w:right="1440" w:bottom="1440" w:left="1440" w:header="720" w:footer="720" w:gutter="0"/>
          <w:lnNumType w:countBy="1" w:restart="newSection"/>
          <w:cols w:space="720"/>
          <w:titlePg/>
          <w:docGrid w:linePitch="360"/>
        </w:sectPr>
      </w:pPr>
    </w:p>
    <w:p w14:paraId="4998A5B1" w14:textId="77777777" w:rsidR="00516723" w:rsidRPr="003A41AF" w:rsidRDefault="00516723" w:rsidP="00FF6149">
      <w:pPr>
        <w:pStyle w:val="ArticleHeading"/>
        <w:rPr>
          <w:color w:val="auto"/>
        </w:rPr>
      </w:pPr>
      <w:r w:rsidRPr="003A41AF">
        <w:rPr>
          <w:color w:val="auto"/>
        </w:rPr>
        <w:t>ARTICLE 9F. SCHOOL ACCESS SAFETY ACT.</w:t>
      </w:r>
    </w:p>
    <w:p w14:paraId="00194B99" w14:textId="77777777" w:rsidR="00516723" w:rsidRPr="003A41AF" w:rsidRDefault="00516723" w:rsidP="00516723">
      <w:pPr>
        <w:spacing w:after="0" w:line="480" w:lineRule="auto"/>
        <w:jc w:val="center"/>
        <w:rPr>
          <w:rFonts w:ascii="Arial" w:hAnsi="Arial" w:cs="Arial"/>
          <w:b/>
          <w:caps/>
          <w:sz w:val="28"/>
        </w:rPr>
        <w:sectPr w:rsidR="00516723" w:rsidRPr="003A41AF" w:rsidSect="00752814">
          <w:type w:val="continuous"/>
          <w:pgSz w:w="12240" w:h="15840"/>
          <w:pgMar w:top="1440" w:right="1440" w:bottom="1440" w:left="1440" w:header="720" w:footer="720" w:gutter="0"/>
          <w:cols w:space="720"/>
          <w:docGrid w:linePitch="360"/>
        </w:sectPr>
      </w:pPr>
    </w:p>
    <w:p w14:paraId="6575ED51" w14:textId="77777777" w:rsidR="00516723" w:rsidRPr="003A41AF" w:rsidRDefault="00516723" w:rsidP="00516723">
      <w:pPr>
        <w:pStyle w:val="SectionHeading"/>
      </w:pPr>
      <w:r w:rsidRPr="003A41AF">
        <w:t>§</w:t>
      </w:r>
      <w:r w:rsidRPr="003A41AF">
        <w:rPr>
          <w:color w:val="auto"/>
        </w:rPr>
        <w:t xml:space="preserve">18-9F-8. </w:t>
      </w:r>
      <w:r w:rsidRPr="003A41AF">
        <w:t>Report.</w:t>
      </w:r>
    </w:p>
    <w:p w14:paraId="781E3A3B" w14:textId="24B08CB7" w:rsidR="00516723" w:rsidRPr="003A41AF" w:rsidRDefault="00516723" w:rsidP="00516723">
      <w:pPr>
        <w:pStyle w:val="SectionBody"/>
      </w:pPr>
      <w:r w:rsidRPr="003A41AF">
        <w:t>The authority shall report to the Legislative Oversight Commission on Education Accountability regarding its duties under this article, including but not limited to:</w:t>
      </w:r>
    </w:p>
    <w:p w14:paraId="3AACCFF0" w14:textId="77777777" w:rsidR="00516723" w:rsidRPr="003A41AF" w:rsidRDefault="00516723" w:rsidP="00516723">
      <w:pPr>
        <w:pStyle w:val="SectionBody"/>
      </w:pPr>
      <w:r w:rsidRPr="003A41AF">
        <w:t xml:space="preserve">(1) County school access safety plans or annual plan updates; </w:t>
      </w:r>
    </w:p>
    <w:p w14:paraId="12B1F040" w14:textId="1558BEA2" w:rsidR="00516723" w:rsidRPr="003A41AF" w:rsidRDefault="00516723" w:rsidP="00516723">
      <w:pPr>
        <w:pStyle w:val="SectionBody"/>
      </w:pPr>
      <w:r w:rsidRPr="003A41AF">
        <w:t>(2) Allocations, transfers</w:t>
      </w:r>
      <w:r w:rsidR="00F4703C" w:rsidRPr="003A41AF">
        <w:t>,</w:t>
      </w:r>
      <w:r w:rsidRPr="003A41AF">
        <w:t xml:space="preserve"> and disbursements of School Access Safety Fund moneys; and </w:t>
      </w:r>
    </w:p>
    <w:p w14:paraId="271863A5" w14:textId="2E5D7B71" w:rsidR="00A64AF4" w:rsidRPr="003A41AF" w:rsidRDefault="00516723" w:rsidP="00CC1F3B">
      <w:pPr>
        <w:pStyle w:val="SectionBody"/>
        <w:rPr>
          <w:color w:val="auto"/>
        </w:rPr>
        <w:sectPr w:rsidR="00A64AF4" w:rsidRPr="003A41AF" w:rsidSect="00ED6F43">
          <w:type w:val="continuous"/>
          <w:pgSz w:w="12240" w:h="15840" w:code="1"/>
          <w:pgMar w:top="1440" w:right="1440" w:bottom="1440" w:left="1440" w:header="720" w:footer="720" w:gutter="0"/>
          <w:lnNumType w:countBy="1" w:restart="newSection"/>
          <w:cols w:space="720"/>
          <w:titlePg/>
          <w:docGrid w:linePitch="360"/>
        </w:sectPr>
      </w:pPr>
      <w:r w:rsidRPr="003A41AF">
        <w:t>(3) Collaboration with the state board and the Division of Homeland Security and Emergency Management in complying with the provisions of this article.</w:t>
      </w:r>
    </w:p>
    <w:p w14:paraId="108A72C2" w14:textId="77777777" w:rsidR="00A64AF4" w:rsidRPr="003A41AF" w:rsidRDefault="00A64AF4" w:rsidP="00EF3002">
      <w:pPr>
        <w:pStyle w:val="ArticleHeading"/>
        <w:rPr>
          <w:color w:val="auto"/>
        </w:rPr>
        <w:sectPr w:rsidR="00A64AF4" w:rsidRPr="003A41AF" w:rsidSect="00ED6F43">
          <w:type w:val="continuous"/>
          <w:pgSz w:w="12240" w:h="15840" w:code="1"/>
          <w:pgMar w:top="1440" w:right="1440" w:bottom="1440" w:left="1440" w:header="720" w:footer="720" w:gutter="0"/>
          <w:lnNumType w:countBy="1" w:restart="newSection"/>
          <w:cols w:space="720"/>
          <w:titlePg/>
          <w:docGrid w:linePitch="360"/>
        </w:sectPr>
      </w:pPr>
      <w:r w:rsidRPr="003A41AF">
        <w:rPr>
          <w:color w:val="auto"/>
        </w:rPr>
        <w:t>ARTICLE 3C. IMPROVING TEACHING AND LEARNING.</w:t>
      </w:r>
    </w:p>
    <w:p w14:paraId="5A9EA1F7" w14:textId="77777777" w:rsidR="00A64AF4" w:rsidRPr="003A41AF" w:rsidRDefault="00A64AF4" w:rsidP="00C365F6">
      <w:pPr>
        <w:pStyle w:val="SectionHeading"/>
        <w:rPr>
          <w:color w:val="auto"/>
        </w:rPr>
      </w:pPr>
      <w:r w:rsidRPr="003A41AF">
        <w:rPr>
          <w:color w:val="auto"/>
        </w:rPr>
        <w:t>§18A-3C-3. Comprehensive system for teacher and leader induction and professional growth.</w:t>
      </w:r>
    </w:p>
    <w:p w14:paraId="12B8789F" w14:textId="77777777" w:rsidR="00A64AF4" w:rsidRPr="003A41AF" w:rsidRDefault="00A64AF4" w:rsidP="00C365F6">
      <w:pPr>
        <w:pStyle w:val="SectionBody"/>
        <w:rPr>
          <w:color w:val="auto"/>
        </w:rPr>
        <w:sectPr w:rsidR="00A64AF4" w:rsidRPr="003A41AF" w:rsidSect="00ED6F43">
          <w:type w:val="continuous"/>
          <w:pgSz w:w="12240" w:h="15840" w:code="1"/>
          <w:pgMar w:top="1440" w:right="1440" w:bottom="1440" w:left="1440" w:header="720" w:footer="432" w:gutter="0"/>
          <w:lnNumType w:countBy="1" w:restart="newSection"/>
          <w:cols w:space="720"/>
          <w:titlePg/>
          <w:docGrid w:linePitch="360"/>
        </w:sectPr>
      </w:pPr>
    </w:p>
    <w:p w14:paraId="49F827DB" w14:textId="71849F56" w:rsidR="00A64AF4" w:rsidRPr="003A41AF" w:rsidRDefault="00A64AF4" w:rsidP="00C365F6">
      <w:pPr>
        <w:pStyle w:val="SectionBody"/>
        <w:rPr>
          <w:color w:val="auto"/>
        </w:rPr>
      </w:pPr>
      <w:r w:rsidRPr="003A41AF">
        <w:rPr>
          <w:color w:val="auto"/>
        </w:rPr>
        <w:t xml:space="preserve">(a) The intent of the Legislature is to allow for local-level implementation of comprehensive systems of support for building professional practice consistent with sound educational practices and resources available. In this regard, it is the intent of the Legislature that the comprehensive systems of support shall incorporate support for improved professional performance that begins with meaningful assistance for beginning teachers and leaders and also is targeted on deficiencies identified through the educator personnel evaluation process and other professional development needs identified in the strategic plans for continuous improvement of schools and </w:t>
      </w:r>
      <w:r w:rsidRPr="003A41AF">
        <w:rPr>
          <w:color w:val="auto"/>
        </w:rPr>
        <w:lastRenderedPageBreak/>
        <w:t>school systems. Further, because of significant variability among the counties, not only in the size of their teaching force, distribution of facilities and available resources, but also because of their varying needs, the Legislature intends for the implementation of this section to be accomplished in a manner that provides adequate flexibility to the counties to design and implement a comprehensive system of support for improving professional performance that best achieves the goals of this section within the county. Finally, because of the critical importance of ensuring that all teachers perform at the accomplished level or higher in the delivery of instruction that at least meets the West Virginia Professional Teaching Standards</w:t>
      </w:r>
      <w:r w:rsidR="00750B6A" w:rsidRPr="003A41AF">
        <w:rPr>
          <w:color w:val="auto"/>
        </w:rPr>
        <w:t>,</w:t>
      </w:r>
      <w:r w:rsidRPr="003A41AF">
        <w:rPr>
          <w:color w:val="auto"/>
        </w:rPr>
        <w:t xml:space="preserve"> and because achieving this objective at a minimum entails providing assistance to address the needs as indicated by the data informed results of annual performance evaluations, including the self-assessed needs of the teachers themselves, the Legislature expects the highest priority for county and state professional development will be on meeting these needs and that the comprehensive systems of support for improving professional practice will reflect substantial redirection of existing professional development resources toward this highest priority.</w:t>
      </w:r>
    </w:p>
    <w:p w14:paraId="501DC9F5" w14:textId="77777777" w:rsidR="00A64AF4" w:rsidRPr="003A41AF" w:rsidRDefault="00A64AF4" w:rsidP="00C365F6">
      <w:pPr>
        <w:pStyle w:val="SectionBody"/>
        <w:rPr>
          <w:color w:val="auto"/>
        </w:rPr>
      </w:pPr>
      <w:r w:rsidRPr="003A41AF">
        <w:rPr>
          <w:color w:val="auto"/>
        </w:rPr>
        <w:t>(b) On or before July 1, 2018, the state board shall publish guidelines on the design and implementation of a county-level comprehensive system of support for improving professional practice. The purpose of the guidelines is to assist the county board with the design and implementation of a system that best achieves the goals of this section within the county. The guidelines may include examples of best practices and resources available to county boards to assist them with the design and implementation of a comprehensive system of support and may include guidelines for the design and implementation of a teacher leader framework committed to improving the quality of instruction.</w:t>
      </w:r>
    </w:p>
    <w:p w14:paraId="21D9AE32" w14:textId="77777777" w:rsidR="00A64AF4" w:rsidRPr="003A41AF" w:rsidRDefault="00A64AF4" w:rsidP="00C365F6">
      <w:pPr>
        <w:pStyle w:val="SectionBody"/>
        <w:rPr>
          <w:color w:val="auto"/>
        </w:rPr>
      </w:pPr>
      <w:r w:rsidRPr="003A41AF">
        <w:rPr>
          <w:color w:val="auto"/>
        </w:rPr>
        <w:t xml:space="preserve">(c) Effective for the school year beginning July 1, 2018, and thereafter, a county board is not eligible to receive state funding appropriated for the purposes of this section or any other provision of law related to beginning teacher and principal internships and mentor teachers and principals unless it has adopted a plan for implementation of a comprehensive system of support </w:t>
      </w:r>
      <w:r w:rsidRPr="003A41AF">
        <w:rPr>
          <w:color w:val="auto"/>
        </w:rPr>
        <w:lastRenderedPageBreak/>
        <w:t>for improving professional practice, the plan has been verified by the state board as meeting the requirements of this section and the county is implementing the plan. The plan shall address the following:</w:t>
      </w:r>
    </w:p>
    <w:p w14:paraId="36FC871C" w14:textId="25FB8469" w:rsidR="00A64AF4" w:rsidRPr="003A41AF" w:rsidRDefault="00A64AF4" w:rsidP="00C365F6">
      <w:pPr>
        <w:pStyle w:val="SectionBody"/>
        <w:rPr>
          <w:color w:val="auto"/>
        </w:rPr>
      </w:pPr>
      <w:r w:rsidRPr="003A41AF">
        <w:rPr>
          <w:color w:val="auto"/>
        </w:rPr>
        <w:t>(1) The manner in which the county will provide the strong school-based support and supervision that will assist beginning teachers in developing instructional and management strategies, procedural and policy expertise, and other professional practices they need to be successful in the classroom and perform at the accomplished level. Nothing in this subdivision prohibits a school</w:t>
      </w:r>
      <w:r w:rsidR="00750B6A" w:rsidRPr="003A41AF">
        <w:rPr>
          <w:color w:val="auto"/>
        </w:rPr>
        <w:t>,</w:t>
      </w:r>
      <w:r w:rsidRPr="003A41AF">
        <w:rPr>
          <w:color w:val="auto"/>
        </w:rPr>
        <w:t xml:space="preserve"> or school system that was granted an exception or waiver</w:t>
      </w:r>
      <w:r w:rsidR="00750B6A" w:rsidRPr="003A41AF">
        <w:rPr>
          <w:color w:val="auto"/>
        </w:rPr>
        <w:t>,</w:t>
      </w:r>
      <w:r w:rsidRPr="003A41AF">
        <w:rPr>
          <w:color w:val="auto"/>
        </w:rPr>
        <w:t xml:space="preserve"> from §18A-3-2c of this code prior to the effective date of this section from continuing implementation of the program in accordance with the exception or waiver;</w:t>
      </w:r>
    </w:p>
    <w:p w14:paraId="10D819F0" w14:textId="77777777" w:rsidR="00A64AF4" w:rsidRPr="003A41AF" w:rsidRDefault="00A64AF4" w:rsidP="00C365F6">
      <w:pPr>
        <w:pStyle w:val="SectionBody"/>
        <w:rPr>
          <w:color w:val="auto"/>
        </w:rPr>
      </w:pPr>
      <w:r w:rsidRPr="003A41AF">
        <w:rPr>
          <w:color w:val="auto"/>
        </w:rPr>
        <w:t>(2) The manner in which the county will provide the strong support and supervision that will assist beginning principals in developing instructional leadership, supervisory, and management strategies, procedural and policy expertise, and other professional practices they need to be successful in leading continuous school improvement and performing at the accomplished level or above;</w:t>
      </w:r>
    </w:p>
    <w:p w14:paraId="4D67BAB8" w14:textId="39008929" w:rsidR="00A64AF4" w:rsidRPr="003A41AF" w:rsidRDefault="00A64AF4" w:rsidP="00C365F6">
      <w:pPr>
        <w:pStyle w:val="SectionBody"/>
        <w:rPr>
          <w:color w:val="auto"/>
        </w:rPr>
      </w:pPr>
      <w:r w:rsidRPr="003A41AF">
        <w:rPr>
          <w:color w:val="auto"/>
        </w:rPr>
        <w:t>(3) The manner in which the county</w:t>
      </w:r>
      <w:r w:rsidR="00750B6A" w:rsidRPr="003A41AF">
        <w:rPr>
          <w:color w:val="auto"/>
        </w:rPr>
        <w:t>,</w:t>
      </w:r>
      <w:r w:rsidRPr="003A41AF">
        <w:rPr>
          <w:color w:val="auto"/>
        </w:rPr>
        <w:t xml:space="preserve"> in cooperation with the teacher preparation programs in this state</w:t>
      </w:r>
      <w:r w:rsidR="00750B6A" w:rsidRPr="003A41AF">
        <w:rPr>
          <w:color w:val="auto"/>
        </w:rPr>
        <w:t>,</w:t>
      </w:r>
      <w:r w:rsidRPr="003A41AF">
        <w:rPr>
          <w:color w:val="auto"/>
        </w:rPr>
        <w:t xml:space="preserve"> will provide strong school-based support and assistance necessary to make student teaching a productive learning experience;</w:t>
      </w:r>
    </w:p>
    <w:p w14:paraId="1F72F6F8" w14:textId="77777777" w:rsidR="00A64AF4" w:rsidRPr="003A41AF" w:rsidRDefault="00A64AF4" w:rsidP="00C365F6">
      <w:pPr>
        <w:pStyle w:val="SectionBody"/>
        <w:rPr>
          <w:color w:val="auto"/>
        </w:rPr>
      </w:pPr>
      <w:r w:rsidRPr="003A41AF">
        <w:rPr>
          <w:color w:val="auto"/>
        </w:rPr>
        <w:t>(4) The manner in which the county will use the data from the educator performance evaluation system to serve as the basis for providing professional development specifically targeted on the area or areas identified through the evaluation process as needing improvement. If possible, this targeted professional development should be delivered at the school site using collaborative processes, mentoring or coaching or other approaches that maximize use of the instructional setting;</w:t>
      </w:r>
    </w:p>
    <w:p w14:paraId="18793E92" w14:textId="77777777" w:rsidR="00A64AF4" w:rsidRPr="003A41AF" w:rsidRDefault="00A64AF4" w:rsidP="00C365F6">
      <w:pPr>
        <w:pStyle w:val="SectionBody"/>
        <w:rPr>
          <w:color w:val="auto"/>
        </w:rPr>
      </w:pPr>
      <w:r w:rsidRPr="003A41AF">
        <w:rPr>
          <w:color w:val="auto"/>
        </w:rPr>
        <w:t xml:space="preserve">(5) The manner in which the county will use the data from the educator performance evaluation system to serve as the basis for establishing priorities for the provision of county-level </w:t>
      </w:r>
      <w:r w:rsidRPr="003A41AF">
        <w:rPr>
          <w:color w:val="auto"/>
        </w:rPr>
        <w:lastRenderedPageBreak/>
        <w:t>professional development when aggregate evaluation data from the county’s schools indicates an area or areas of needed improvement;</w:t>
      </w:r>
    </w:p>
    <w:p w14:paraId="7E621C89" w14:textId="77777777" w:rsidR="00A64AF4" w:rsidRPr="003A41AF" w:rsidRDefault="00A64AF4" w:rsidP="00C365F6">
      <w:pPr>
        <w:pStyle w:val="SectionBody"/>
        <w:rPr>
          <w:color w:val="auto"/>
        </w:rPr>
      </w:pPr>
      <w:r w:rsidRPr="003A41AF">
        <w:rPr>
          <w:color w:val="auto"/>
        </w:rPr>
        <w:t>(6) If a county uses master teachers, mentors, academic coaches, or any other approaches using individual employees to provide support, supervision, or other professional development or training to other employees for the purpose of improving their professional practice, the manner in which the county will select each of these individual employees based upon demonstrated superior performance and competence as well as the manner in which the county will coordinate support for these employees. If the duties of the position are to provide mentoring to an individual teacher at only one school, then priority shall be given to applicants employed at the school at which those duties will be performed;</w:t>
      </w:r>
    </w:p>
    <w:p w14:paraId="14EDA823" w14:textId="77777777" w:rsidR="00A64AF4" w:rsidRPr="003A41AF" w:rsidRDefault="00A64AF4" w:rsidP="00C365F6">
      <w:pPr>
        <w:pStyle w:val="SectionBody"/>
        <w:rPr>
          <w:color w:val="auto"/>
        </w:rPr>
      </w:pPr>
      <w:r w:rsidRPr="003A41AF">
        <w:rPr>
          <w:color w:val="auto"/>
        </w:rPr>
        <w:t>(7) The manner in which the county will use local resources available, including, but not limited to, funds for professional development and academic coaches, to focus on the priority professional development goals of this section;</w:t>
      </w:r>
    </w:p>
    <w:p w14:paraId="7C57FDA2" w14:textId="47AAC6D1" w:rsidR="00A64AF4" w:rsidRPr="003A41AF" w:rsidRDefault="00A64AF4" w:rsidP="00C365F6">
      <w:pPr>
        <w:pStyle w:val="SectionBody"/>
        <w:rPr>
          <w:color w:val="auto"/>
        </w:rPr>
      </w:pPr>
      <w:r w:rsidRPr="003A41AF">
        <w:rPr>
          <w:color w:val="auto"/>
        </w:rPr>
        <w:t>(8) The manner in which the county will adjust its scheduling, use of substitutes, collaborative planning time, calendar, or other measures as may be necessary to provide sufficient time for professional personnel to accomplish the goals of this section as set forth in the county</w:t>
      </w:r>
      <w:r w:rsidR="00023DB2" w:rsidRPr="003A41AF">
        <w:rPr>
          <w:color w:val="auto"/>
        </w:rPr>
        <w:t>'</w:t>
      </w:r>
      <w:r w:rsidRPr="003A41AF">
        <w:rPr>
          <w:color w:val="auto"/>
        </w:rPr>
        <w:t>s plan; and</w:t>
      </w:r>
    </w:p>
    <w:p w14:paraId="56AA3586" w14:textId="77777777" w:rsidR="00A64AF4" w:rsidRPr="003A41AF" w:rsidRDefault="00A64AF4" w:rsidP="00C365F6">
      <w:pPr>
        <w:pStyle w:val="SectionBody"/>
        <w:rPr>
          <w:color w:val="auto"/>
        </w:rPr>
      </w:pPr>
      <w:r w:rsidRPr="003A41AF">
        <w:rPr>
          <w:color w:val="auto"/>
        </w:rPr>
        <w:t>(9) The manner in which the county will monitor and evaluate the effectiveness of implementation and outcomes of the county system of support for improving professional practice.</w:t>
      </w:r>
    </w:p>
    <w:p w14:paraId="5AD43151" w14:textId="03BF3B56" w:rsidR="00A64AF4" w:rsidRPr="003A41AF" w:rsidRDefault="00A64AF4" w:rsidP="00C365F6">
      <w:pPr>
        <w:pStyle w:val="SectionBody"/>
        <w:rPr>
          <w:color w:val="auto"/>
        </w:rPr>
      </w:pPr>
      <w:r w:rsidRPr="003A41AF">
        <w:rPr>
          <w:color w:val="auto"/>
        </w:rPr>
        <w:t xml:space="preserve">(d) Effective the school year beginning July 1, 2020, and thereafter, appropriations for supporting county level implementation of the comprehensive systems of support for teacher and leader induction and professional growth pursuant to §18-9A-10 of this code and any new appropriation which may be made for the purposes of this section shall be expended by county boards only to accomplish the activities as set forth in their county plan pursuant to this section. Effective the school year beginning July 1, 2020, and thereafter, any employee service or employment as a mentor is not subject to the provisions of this code governing extra duty </w:t>
      </w:r>
      <w:r w:rsidRPr="003A41AF">
        <w:rPr>
          <w:color w:val="auto"/>
        </w:rPr>
        <w:lastRenderedPageBreak/>
        <w:t>contracts. A county board may adopt a teacher leader framework designed to accomplish the purposes of this section related to teacher induction and professional growth and, if the county board adopts a county salary supplement pursuant to §18A-4-5a of this code to provide additional compensation to teachers who, in addition to teaching duties, are assigned other duties for new teacher induction, improving professional practice and furthering professional growth among teachers as set forth in the county</w:t>
      </w:r>
      <w:r w:rsidR="00DD7F18" w:rsidRPr="003A41AF">
        <w:rPr>
          <w:color w:val="auto"/>
        </w:rPr>
        <w:t>'</w:t>
      </w:r>
      <w:r w:rsidRPr="003A41AF">
        <w:rPr>
          <w:color w:val="auto"/>
        </w:rPr>
        <w:t>s comprehensive system of support, then appropriations made for supporting the purposes of this section may be applied to that salary supplement and other associated costs which may include a reduction in the teaching load of the teacher leader.</w:t>
      </w:r>
    </w:p>
    <w:p w14:paraId="1974CFE3" w14:textId="77777777" w:rsidR="00A64AF4" w:rsidRPr="003A41AF" w:rsidRDefault="00A64AF4" w:rsidP="00C365F6">
      <w:pPr>
        <w:pStyle w:val="SectionBody"/>
        <w:rPr>
          <w:color w:val="auto"/>
        </w:rPr>
      </w:pPr>
      <w:r w:rsidRPr="003A41AF">
        <w:rPr>
          <w:color w:val="auto"/>
        </w:rPr>
        <w:t>(e) The Department of Education shall assist county boards with the design and implementation of a teacher leader framework to accomplish the teacher induction and professional growth aspects of their comprehensive systems of support pursuant to this section. The goals of a teacher leader framework are to achieve:</w:t>
      </w:r>
    </w:p>
    <w:p w14:paraId="3157FAAD" w14:textId="77777777" w:rsidR="00A64AF4" w:rsidRPr="003A41AF" w:rsidRDefault="00A64AF4" w:rsidP="00C365F6">
      <w:pPr>
        <w:pStyle w:val="SectionBody"/>
        <w:rPr>
          <w:color w:val="auto"/>
        </w:rPr>
      </w:pPr>
      <w:r w:rsidRPr="003A41AF">
        <w:rPr>
          <w:color w:val="auto"/>
        </w:rPr>
        <w:t>(1) Increased student achievement and growth through the development of a shared leadership structure at the school level;</w:t>
      </w:r>
    </w:p>
    <w:p w14:paraId="17389611" w14:textId="77777777" w:rsidR="00A64AF4" w:rsidRPr="003A41AF" w:rsidRDefault="00A64AF4" w:rsidP="00C365F6">
      <w:pPr>
        <w:pStyle w:val="SectionBody"/>
        <w:rPr>
          <w:color w:val="auto"/>
        </w:rPr>
      </w:pPr>
      <w:r w:rsidRPr="003A41AF">
        <w:rPr>
          <w:color w:val="auto"/>
        </w:rPr>
        <w:t>(2) Broader dissemination and use of effective teacher strategies through an increase in teacher collaboration; and</w:t>
      </w:r>
    </w:p>
    <w:p w14:paraId="70E1CE22" w14:textId="77777777" w:rsidR="00A64AF4" w:rsidRPr="003A41AF" w:rsidRDefault="00A64AF4" w:rsidP="00C365F6">
      <w:pPr>
        <w:pStyle w:val="SectionBody"/>
        <w:rPr>
          <w:color w:val="auto"/>
        </w:rPr>
      </w:pPr>
      <w:r w:rsidRPr="003A41AF">
        <w:rPr>
          <w:color w:val="auto"/>
        </w:rPr>
        <w:t>(3) Stronger and more positive school and district culture through the development and retention of highly effective teachers.</w:t>
      </w:r>
    </w:p>
    <w:p w14:paraId="21ADE4E4" w14:textId="77777777" w:rsidR="00A64AF4" w:rsidRPr="003A41AF" w:rsidRDefault="00A64AF4" w:rsidP="00C365F6">
      <w:pPr>
        <w:pStyle w:val="SectionBody"/>
        <w:rPr>
          <w:color w:val="auto"/>
        </w:rPr>
      </w:pPr>
      <w:r w:rsidRPr="003A41AF">
        <w:rPr>
          <w:color w:val="auto"/>
        </w:rPr>
        <w:t>(f) The Department of Education may form networks among schools or school systems, or both, of comparable size and interests for the design and implementation of teacher leader frameworks that are:</w:t>
      </w:r>
    </w:p>
    <w:p w14:paraId="2732C018" w14:textId="77777777" w:rsidR="00A64AF4" w:rsidRPr="003A41AF" w:rsidRDefault="00A64AF4" w:rsidP="00C365F6">
      <w:pPr>
        <w:pStyle w:val="SectionBody"/>
        <w:rPr>
          <w:color w:val="auto"/>
        </w:rPr>
      </w:pPr>
      <w:r w:rsidRPr="003A41AF">
        <w:rPr>
          <w:color w:val="auto"/>
        </w:rPr>
        <w:t>(A) Driven by varying district and school needs;</w:t>
      </w:r>
    </w:p>
    <w:p w14:paraId="61001436" w14:textId="77777777" w:rsidR="00A64AF4" w:rsidRPr="003A41AF" w:rsidRDefault="00A64AF4" w:rsidP="00C365F6">
      <w:pPr>
        <w:pStyle w:val="SectionBody"/>
        <w:rPr>
          <w:color w:val="auto"/>
        </w:rPr>
      </w:pPr>
      <w:r w:rsidRPr="003A41AF">
        <w:rPr>
          <w:color w:val="auto"/>
        </w:rPr>
        <w:t>(B) Related to existing state and district initiatives;</w:t>
      </w:r>
    </w:p>
    <w:p w14:paraId="5B143DFF" w14:textId="77777777" w:rsidR="00A64AF4" w:rsidRPr="003A41AF" w:rsidRDefault="00A64AF4" w:rsidP="00C365F6">
      <w:pPr>
        <w:pStyle w:val="SectionBody"/>
        <w:rPr>
          <w:color w:val="auto"/>
        </w:rPr>
      </w:pPr>
      <w:r w:rsidRPr="003A41AF">
        <w:rPr>
          <w:color w:val="auto"/>
        </w:rPr>
        <w:t>(C) Designed to improve student achievement and growth; and</w:t>
      </w:r>
    </w:p>
    <w:p w14:paraId="329B4C6F" w14:textId="77777777" w:rsidR="00A64AF4" w:rsidRPr="003A41AF" w:rsidRDefault="00A64AF4" w:rsidP="00C365F6">
      <w:pPr>
        <w:pStyle w:val="SectionBody"/>
        <w:rPr>
          <w:color w:val="auto"/>
        </w:rPr>
      </w:pPr>
      <w:r w:rsidRPr="003A41AF">
        <w:rPr>
          <w:color w:val="auto"/>
        </w:rPr>
        <w:t>(D) Designed to ﬁt district size, current culture for collaboration, and funding capacity.</w:t>
      </w:r>
    </w:p>
    <w:p w14:paraId="0AD00E47" w14:textId="77777777" w:rsidR="00A64AF4" w:rsidRPr="003A41AF" w:rsidRDefault="00A64AF4" w:rsidP="00C365F6">
      <w:pPr>
        <w:pStyle w:val="SectionBody"/>
        <w:rPr>
          <w:color w:val="auto"/>
        </w:rPr>
      </w:pPr>
      <w:r w:rsidRPr="003A41AF">
        <w:rPr>
          <w:color w:val="auto"/>
        </w:rPr>
        <w:t>(g) A teacher leader framework adopted by a county board must:</w:t>
      </w:r>
    </w:p>
    <w:p w14:paraId="6AC06600" w14:textId="77777777" w:rsidR="00A64AF4" w:rsidRPr="003A41AF" w:rsidRDefault="00A64AF4" w:rsidP="00C365F6">
      <w:pPr>
        <w:pStyle w:val="SectionBody"/>
        <w:rPr>
          <w:color w:val="auto"/>
        </w:rPr>
      </w:pPr>
      <w:r w:rsidRPr="003A41AF">
        <w:rPr>
          <w:color w:val="auto"/>
        </w:rPr>
        <w:lastRenderedPageBreak/>
        <w:t>(1) Create speciﬁc roles and responsibilities, eligibility requirements, and compensation plans for each teacher leader position, and clearly communicate these to teacher leaders, administrators, and other stakeholders;</w:t>
      </w:r>
    </w:p>
    <w:p w14:paraId="7215EE48" w14:textId="77777777" w:rsidR="00A64AF4" w:rsidRPr="003A41AF" w:rsidRDefault="00A64AF4" w:rsidP="00C365F6">
      <w:pPr>
        <w:pStyle w:val="SectionBody"/>
        <w:rPr>
          <w:color w:val="auto"/>
        </w:rPr>
      </w:pPr>
      <w:r w:rsidRPr="003A41AF">
        <w:rPr>
          <w:color w:val="auto"/>
        </w:rPr>
        <w:t>(2) Provide regular, targeted professional learning opportunities for teacher leaders, and encourage redelivery within their respective schools;</w:t>
      </w:r>
    </w:p>
    <w:p w14:paraId="4E6329A8" w14:textId="77777777" w:rsidR="00A64AF4" w:rsidRPr="003A41AF" w:rsidRDefault="00A64AF4" w:rsidP="00C365F6">
      <w:pPr>
        <w:pStyle w:val="SectionBody"/>
        <w:rPr>
          <w:color w:val="auto"/>
        </w:rPr>
      </w:pPr>
      <w:r w:rsidRPr="003A41AF">
        <w:rPr>
          <w:color w:val="auto"/>
        </w:rPr>
        <w:t>(3) Provide time and opportunities for teacher leaders to collaborate with administrators, curriculum staﬀ, other teacher leaders, and teachers;</w:t>
      </w:r>
    </w:p>
    <w:p w14:paraId="4D41E247" w14:textId="77777777" w:rsidR="00A64AF4" w:rsidRPr="003A41AF" w:rsidRDefault="00A64AF4" w:rsidP="00C365F6">
      <w:pPr>
        <w:pStyle w:val="SectionBody"/>
        <w:rPr>
          <w:color w:val="auto"/>
        </w:rPr>
      </w:pPr>
      <w:r w:rsidRPr="003A41AF">
        <w:rPr>
          <w:color w:val="auto"/>
        </w:rPr>
        <w:t>(4) Monitor and evaluate the eﬀectiveness of the teacher leader program through surveys from school administrators and school faculty; and</w:t>
      </w:r>
    </w:p>
    <w:p w14:paraId="7392AC3C" w14:textId="77777777" w:rsidR="00A64AF4" w:rsidRPr="003A41AF" w:rsidRDefault="00A64AF4" w:rsidP="00C365F6">
      <w:pPr>
        <w:pStyle w:val="SectionBody"/>
        <w:rPr>
          <w:color w:val="auto"/>
        </w:rPr>
      </w:pPr>
      <w:r w:rsidRPr="003A41AF">
        <w:rPr>
          <w:color w:val="auto"/>
        </w:rPr>
        <w:t>(5) Include teacher leaders in the school improvement planning process.</w:t>
      </w:r>
    </w:p>
    <w:p w14:paraId="3C87D352" w14:textId="77777777" w:rsidR="00C33014" w:rsidRPr="003A41AF" w:rsidRDefault="00C33014" w:rsidP="00CC1F3B">
      <w:pPr>
        <w:pStyle w:val="Note"/>
        <w:rPr>
          <w:color w:val="auto"/>
        </w:rPr>
      </w:pPr>
    </w:p>
    <w:sectPr w:rsidR="00C33014" w:rsidRPr="003A41AF" w:rsidSect="00ED6F43">
      <w:type w:val="continuous"/>
      <w:pgSz w:w="12240" w:h="15840" w:code="1"/>
      <w:pgMar w:top="1440" w:right="1440" w:bottom="1440" w:left="1440" w:header="720" w:footer="432"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C6045" w14:textId="77777777" w:rsidR="00317CEB" w:rsidRPr="00B844FE" w:rsidRDefault="00317CEB" w:rsidP="00B844FE">
      <w:r>
        <w:separator/>
      </w:r>
    </w:p>
  </w:endnote>
  <w:endnote w:type="continuationSeparator" w:id="0">
    <w:p w14:paraId="097F2BE8" w14:textId="77777777" w:rsidR="00317CEB" w:rsidRPr="00B844FE" w:rsidRDefault="00317C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E3DA9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44F5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84DA3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0EE3" w14:textId="77777777" w:rsidR="00317CEB" w:rsidRPr="007E21FB" w:rsidRDefault="00317CEB" w:rsidP="007E21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79226"/>
      <w:docPartObj>
        <w:docPartGallery w:val="Page Numbers (Bottom of Page)"/>
        <w:docPartUnique/>
      </w:docPartObj>
    </w:sdtPr>
    <w:sdtEndPr>
      <w:rPr>
        <w:noProof/>
      </w:rPr>
    </w:sdtEndPr>
    <w:sdtContent>
      <w:p w14:paraId="4B200C03" w14:textId="5E4ED530" w:rsidR="00F43E0F" w:rsidRDefault="00F43E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51D523" w14:textId="77777777" w:rsidR="00317CEB" w:rsidRPr="007E21FB" w:rsidRDefault="00317CEB" w:rsidP="007E21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858957"/>
      <w:docPartObj>
        <w:docPartGallery w:val="Page Numbers (Bottom of Page)"/>
        <w:docPartUnique/>
      </w:docPartObj>
    </w:sdtPr>
    <w:sdtEndPr>
      <w:rPr>
        <w:noProof/>
      </w:rPr>
    </w:sdtEndPr>
    <w:sdtContent>
      <w:p w14:paraId="558DD5D4" w14:textId="111F46E6" w:rsidR="00B26D3F" w:rsidRDefault="00B26D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D6F33" w14:textId="77777777" w:rsidR="00317CEB" w:rsidRPr="007E21FB" w:rsidRDefault="00317CEB" w:rsidP="007E2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6F57C" w14:textId="77777777" w:rsidR="00317CEB" w:rsidRPr="00B844FE" w:rsidRDefault="00317CEB" w:rsidP="00B844FE">
      <w:r>
        <w:separator/>
      </w:r>
    </w:p>
  </w:footnote>
  <w:footnote w:type="continuationSeparator" w:id="0">
    <w:p w14:paraId="23994215" w14:textId="77777777" w:rsidR="00317CEB" w:rsidRPr="00B844FE" w:rsidRDefault="00317C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66CD" w14:textId="14D8E2B4" w:rsidR="002A0269" w:rsidRPr="00B844FE" w:rsidRDefault="00CF418B">
    <w:pPr>
      <w:pStyle w:val="Header"/>
    </w:pPr>
    <w:sdt>
      <w:sdtPr>
        <w:id w:val="-684364211"/>
        <w:placeholder>
          <w:docPart w:val="BF1955DF12364AE6916A024DE5C8E275"/>
        </w:placeholder>
        <w:temporary/>
        <w:showingPlcHdr/>
        <w15:appearance w15:val="hidden"/>
      </w:sdtPr>
      <w:sdtEndPr/>
      <w:sdtContent>
        <w:r w:rsidR="00EA4BCF" w:rsidRPr="00B844FE">
          <w:t>[Type here]</w:t>
        </w:r>
      </w:sdtContent>
    </w:sdt>
    <w:r w:rsidR="002A0269" w:rsidRPr="00B844FE">
      <w:ptab w:relativeTo="margin" w:alignment="left" w:leader="none"/>
    </w:r>
    <w:sdt>
      <w:sdtPr>
        <w:id w:val="-556240388"/>
        <w:placeholder>
          <w:docPart w:val="BF1955DF12364AE6916A024DE5C8E275"/>
        </w:placeholder>
        <w:temporary/>
        <w:showingPlcHdr/>
        <w15:appearance w15:val="hidden"/>
      </w:sdtPr>
      <w:sdtEndPr/>
      <w:sdtContent>
        <w:r w:rsidR="00EA4BC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B5E9" w14:textId="28C2CFEA" w:rsidR="00C33014" w:rsidRPr="00C33014" w:rsidRDefault="005236DA" w:rsidP="000573A9">
    <w:pPr>
      <w:pStyle w:val="HeaderStyle"/>
    </w:pPr>
    <w:r>
      <w:t>Enr</w:t>
    </w:r>
    <w:r w:rsidR="00EA4BCF">
      <w:t xml:space="preserve"> </w:t>
    </w:r>
    <w:r w:rsidR="00BE165B">
      <w:t>SB</w:t>
    </w:r>
    <w:r w:rsidR="00750B6A">
      <w:t xml:space="preserve"> 806</w:t>
    </w:r>
    <w:r w:rsidR="00C33014" w:rsidRPr="002A0269">
      <w:ptab w:relativeTo="margin" w:alignment="center" w:leader="none"/>
    </w:r>
    <w:r w:rsidR="00C33014">
      <w:tab/>
    </w:r>
  </w:p>
  <w:p w14:paraId="4AC45B7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2CF6" w14:textId="1D84FB20" w:rsidR="002A0269" w:rsidRPr="002A0269" w:rsidRDefault="007A5259" w:rsidP="00CC1F3B">
    <w:pPr>
      <w:pStyle w:val="HeaderStyle"/>
    </w:pPr>
    <w:r>
      <w:t xml:space="preserve"> </w:t>
    </w:r>
    <w:r w:rsidR="00C33014" w:rsidRPr="002A0269">
      <w:ptab w:relativeTo="margin" w:alignment="center" w:leader="none"/>
    </w:r>
    <w:r w:rsidR="00C330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4655" w14:textId="77777777" w:rsidR="00317CEB" w:rsidRPr="007E21FB" w:rsidRDefault="00317CEB" w:rsidP="007E21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5519" w14:textId="226CADA0" w:rsidR="00317CEB" w:rsidRPr="007E21FB" w:rsidRDefault="00EA4BCF" w:rsidP="007E21FB">
    <w:pPr>
      <w:pStyle w:val="Header"/>
    </w:pPr>
    <w:r>
      <w:t>Enr SB 806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2958" w14:textId="77777777" w:rsidR="00317CEB" w:rsidRPr="007E21FB" w:rsidRDefault="00317CEB" w:rsidP="007E2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4178262">
    <w:abstractNumId w:val="0"/>
  </w:num>
  <w:num w:numId="2" w16cid:durableId="94885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EB"/>
    <w:rsid w:val="0000526A"/>
    <w:rsid w:val="00023DB2"/>
    <w:rsid w:val="000573A9"/>
    <w:rsid w:val="00085D22"/>
    <w:rsid w:val="000C5C77"/>
    <w:rsid w:val="000E3912"/>
    <w:rsid w:val="0010070F"/>
    <w:rsid w:val="00103F03"/>
    <w:rsid w:val="001044D9"/>
    <w:rsid w:val="001143CA"/>
    <w:rsid w:val="0015112E"/>
    <w:rsid w:val="001552E7"/>
    <w:rsid w:val="001566B4"/>
    <w:rsid w:val="00164A30"/>
    <w:rsid w:val="00173949"/>
    <w:rsid w:val="001A66B7"/>
    <w:rsid w:val="001C279E"/>
    <w:rsid w:val="001D459E"/>
    <w:rsid w:val="00244AD6"/>
    <w:rsid w:val="0027011C"/>
    <w:rsid w:val="00274200"/>
    <w:rsid w:val="00275740"/>
    <w:rsid w:val="002A0269"/>
    <w:rsid w:val="00303684"/>
    <w:rsid w:val="003143F5"/>
    <w:rsid w:val="00314854"/>
    <w:rsid w:val="00317CEB"/>
    <w:rsid w:val="00394191"/>
    <w:rsid w:val="003A41AF"/>
    <w:rsid w:val="003C51CD"/>
    <w:rsid w:val="004033ED"/>
    <w:rsid w:val="004368E0"/>
    <w:rsid w:val="004A50D7"/>
    <w:rsid w:val="004C13DD"/>
    <w:rsid w:val="004C4E9B"/>
    <w:rsid w:val="004D2CC5"/>
    <w:rsid w:val="004D2D17"/>
    <w:rsid w:val="004E189F"/>
    <w:rsid w:val="004E3441"/>
    <w:rsid w:val="004F659B"/>
    <w:rsid w:val="00500579"/>
    <w:rsid w:val="0050361D"/>
    <w:rsid w:val="00516723"/>
    <w:rsid w:val="005236DA"/>
    <w:rsid w:val="00575F35"/>
    <w:rsid w:val="005A5366"/>
    <w:rsid w:val="005D7E17"/>
    <w:rsid w:val="006210B7"/>
    <w:rsid w:val="006369EB"/>
    <w:rsid w:val="00637E73"/>
    <w:rsid w:val="006540DD"/>
    <w:rsid w:val="00682F56"/>
    <w:rsid w:val="006865E9"/>
    <w:rsid w:val="00691F3E"/>
    <w:rsid w:val="00694BFB"/>
    <w:rsid w:val="006A106B"/>
    <w:rsid w:val="006C523D"/>
    <w:rsid w:val="006D4036"/>
    <w:rsid w:val="006E27A4"/>
    <w:rsid w:val="00743352"/>
    <w:rsid w:val="00750B6A"/>
    <w:rsid w:val="0075550A"/>
    <w:rsid w:val="007910BE"/>
    <w:rsid w:val="007A5259"/>
    <w:rsid w:val="007A7081"/>
    <w:rsid w:val="007C1E09"/>
    <w:rsid w:val="007E5311"/>
    <w:rsid w:val="007F1CF5"/>
    <w:rsid w:val="007F29DD"/>
    <w:rsid w:val="00834EDE"/>
    <w:rsid w:val="008736AA"/>
    <w:rsid w:val="00896562"/>
    <w:rsid w:val="008D275D"/>
    <w:rsid w:val="00927F25"/>
    <w:rsid w:val="0093496A"/>
    <w:rsid w:val="00980327"/>
    <w:rsid w:val="00986478"/>
    <w:rsid w:val="009B5557"/>
    <w:rsid w:val="009C0C92"/>
    <w:rsid w:val="009F1067"/>
    <w:rsid w:val="00A24737"/>
    <w:rsid w:val="00A31E01"/>
    <w:rsid w:val="00A527AD"/>
    <w:rsid w:val="00A64AF4"/>
    <w:rsid w:val="00A718CF"/>
    <w:rsid w:val="00AE48A0"/>
    <w:rsid w:val="00AE61BE"/>
    <w:rsid w:val="00B16F25"/>
    <w:rsid w:val="00B24422"/>
    <w:rsid w:val="00B26D3F"/>
    <w:rsid w:val="00B305DB"/>
    <w:rsid w:val="00B66B81"/>
    <w:rsid w:val="00B747CF"/>
    <w:rsid w:val="00B80C20"/>
    <w:rsid w:val="00B844FE"/>
    <w:rsid w:val="00B86B4F"/>
    <w:rsid w:val="00BA1F84"/>
    <w:rsid w:val="00BA47A7"/>
    <w:rsid w:val="00BB7185"/>
    <w:rsid w:val="00BC562B"/>
    <w:rsid w:val="00BE165B"/>
    <w:rsid w:val="00BE5987"/>
    <w:rsid w:val="00C33014"/>
    <w:rsid w:val="00C33434"/>
    <w:rsid w:val="00C34869"/>
    <w:rsid w:val="00C42EB6"/>
    <w:rsid w:val="00C85096"/>
    <w:rsid w:val="00CB06B4"/>
    <w:rsid w:val="00CB20EF"/>
    <w:rsid w:val="00CC1F3B"/>
    <w:rsid w:val="00CC34E1"/>
    <w:rsid w:val="00CD12CB"/>
    <w:rsid w:val="00CD36CF"/>
    <w:rsid w:val="00CF1DCA"/>
    <w:rsid w:val="00CF418B"/>
    <w:rsid w:val="00D02366"/>
    <w:rsid w:val="00D579FC"/>
    <w:rsid w:val="00D81C16"/>
    <w:rsid w:val="00DB2794"/>
    <w:rsid w:val="00DD7F18"/>
    <w:rsid w:val="00DE526B"/>
    <w:rsid w:val="00DF199D"/>
    <w:rsid w:val="00E01542"/>
    <w:rsid w:val="00E27F03"/>
    <w:rsid w:val="00E365F1"/>
    <w:rsid w:val="00E60074"/>
    <w:rsid w:val="00E62F48"/>
    <w:rsid w:val="00E831B3"/>
    <w:rsid w:val="00E95FBC"/>
    <w:rsid w:val="00EA4BCF"/>
    <w:rsid w:val="00ED0A0F"/>
    <w:rsid w:val="00ED6F43"/>
    <w:rsid w:val="00EE70CB"/>
    <w:rsid w:val="00EE7EE5"/>
    <w:rsid w:val="00F14FAE"/>
    <w:rsid w:val="00F41CA2"/>
    <w:rsid w:val="00F43E0F"/>
    <w:rsid w:val="00F443C0"/>
    <w:rsid w:val="00F4703C"/>
    <w:rsid w:val="00F5274D"/>
    <w:rsid w:val="00F62EFB"/>
    <w:rsid w:val="00F66A58"/>
    <w:rsid w:val="00F758FD"/>
    <w:rsid w:val="00F939A4"/>
    <w:rsid w:val="00FA2C4A"/>
    <w:rsid w:val="00FA7B09"/>
    <w:rsid w:val="00FB3031"/>
    <w:rsid w:val="00FD20FA"/>
    <w:rsid w:val="00FD5B51"/>
    <w:rsid w:val="00FE067E"/>
    <w:rsid w:val="00FE208F"/>
    <w:rsid w:val="00FE2315"/>
    <w:rsid w:val="00FF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53B1A"/>
  <w15:chartTrackingRefBased/>
  <w15:docId w15:val="{A1A15B01-1938-4FEE-9FA0-7BAAB2F6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516723"/>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17CEB"/>
    <w:rPr>
      <w:rFonts w:eastAsia="Calibri"/>
      <w:b/>
      <w:caps/>
      <w:color w:val="000000"/>
      <w:sz w:val="24"/>
    </w:rPr>
  </w:style>
  <w:style w:type="character" w:customStyle="1" w:styleId="SectionBodyChar">
    <w:name w:val="Section Body Char"/>
    <w:link w:val="SectionBody"/>
    <w:rsid w:val="00317CEB"/>
    <w:rPr>
      <w:rFonts w:eastAsia="Calibri"/>
      <w:color w:val="000000"/>
    </w:rPr>
  </w:style>
  <w:style w:type="character" w:customStyle="1" w:styleId="SectionHeadingChar">
    <w:name w:val="Section Heading Char"/>
    <w:link w:val="SectionHeading"/>
    <w:rsid w:val="00317CE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A7A565A0604290A8B055F157AD25D2"/>
        <w:category>
          <w:name w:val="General"/>
          <w:gallery w:val="placeholder"/>
        </w:category>
        <w:types>
          <w:type w:val="bbPlcHdr"/>
        </w:types>
        <w:behaviors>
          <w:behavior w:val="content"/>
        </w:behaviors>
        <w:guid w:val="{236336D0-7B19-41CA-999E-D13AF1500950}"/>
      </w:docPartPr>
      <w:docPartBody>
        <w:p w:rsidR="00090519" w:rsidRDefault="00090519">
          <w:pPr>
            <w:pStyle w:val="CFA7A565A0604290A8B055F157AD25D2"/>
          </w:pPr>
          <w:r w:rsidRPr="00B844FE">
            <w:t>Prefix Text</w:t>
          </w:r>
        </w:p>
      </w:docPartBody>
    </w:docPart>
    <w:docPart>
      <w:docPartPr>
        <w:name w:val="BF1955DF12364AE6916A024DE5C8E275"/>
        <w:category>
          <w:name w:val="General"/>
          <w:gallery w:val="placeholder"/>
        </w:category>
        <w:types>
          <w:type w:val="bbPlcHdr"/>
        </w:types>
        <w:behaviors>
          <w:behavior w:val="content"/>
        </w:behaviors>
        <w:guid w:val="{F17433B6-34E8-4079-AAA6-5C7A37BD5EE2}"/>
      </w:docPartPr>
      <w:docPartBody>
        <w:p w:rsidR="00090519" w:rsidRDefault="00DB0E89">
          <w:pPr>
            <w:pStyle w:val="BF1955DF12364AE6916A024DE5C8E275"/>
          </w:pPr>
          <w:r w:rsidRPr="00B844FE">
            <w:t>[Type here]</w:t>
          </w:r>
        </w:p>
      </w:docPartBody>
    </w:docPart>
    <w:docPart>
      <w:docPartPr>
        <w:name w:val="70E270310EED418FB0D358B3BC5740F7"/>
        <w:category>
          <w:name w:val="General"/>
          <w:gallery w:val="placeholder"/>
        </w:category>
        <w:types>
          <w:type w:val="bbPlcHdr"/>
        </w:types>
        <w:behaviors>
          <w:behavior w:val="content"/>
        </w:behaviors>
        <w:guid w:val="{C3D6FCF0-194A-4FF4-9D7F-438F1ACF6788}"/>
      </w:docPartPr>
      <w:docPartBody>
        <w:p w:rsidR="00090519" w:rsidRDefault="00090519">
          <w:pPr>
            <w:pStyle w:val="70E270310EED418FB0D358B3BC5740F7"/>
          </w:pPr>
          <w:r w:rsidRPr="00B844FE">
            <w:t>Number</w:t>
          </w:r>
        </w:p>
      </w:docPartBody>
    </w:docPart>
    <w:docPart>
      <w:docPartPr>
        <w:name w:val="660E76B5B5A34580BDE349B9FBD7A7BD"/>
        <w:category>
          <w:name w:val="General"/>
          <w:gallery w:val="placeholder"/>
        </w:category>
        <w:types>
          <w:type w:val="bbPlcHdr"/>
        </w:types>
        <w:behaviors>
          <w:behavior w:val="content"/>
        </w:behaviors>
        <w:guid w:val="{F9ED1EF5-448A-48FD-B05D-F513A4426021}"/>
      </w:docPartPr>
      <w:docPartBody>
        <w:p w:rsidR="00090519" w:rsidRDefault="00090519">
          <w:pPr>
            <w:pStyle w:val="660E76B5B5A34580BDE349B9FBD7A7BD"/>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19"/>
    <w:rsid w:val="00090519"/>
    <w:rsid w:val="00DB0E89"/>
    <w:rsid w:val="00F4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A7A565A0604290A8B055F157AD25D2">
    <w:name w:val="CFA7A565A0604290A8B055F157AD25D2"/>
  </w:style>
  <w:style w:type="paragraph" w:customStyle="1" w:styleId="BF1955DF12364AE6916A024DE5C8E275">
    <w:name w:val="BF1955DF12364AE6916A024DE5C8E275"/>
  </w:style>
  <w:style w:type="paragraph" w:customStyle="1" w:styleId="70E270310EED418FB0D358B3BC5740F7">
    <w:name w:val="70E270310EED418FB0D358B3BC5740F7"/>
  </w:style>
  <w:style w:type="paragraph" w:customStyle="1" w:styleId="660E76B5B5A34580BDE349B9FBD7A7BD">
    <w:name w:val="660E76B5B5A34580BDE349B9FBD7A7BD"/>
  </w:style>
  <w:style w:type="character" w:styleId="PlaceholderText">
    <w:name w:val="Placeholder Text"/>
    <w:basedOn w:val="DefaultParagraphFont"/>
    <w:uiPriority w:val="99"/>
    <w:semiHidden/>
    <w:rsid w:val="00DB0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129</TotalTime>
  <Pages>10</Pages>
  <Words>2603</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Xris Hess</cp:lastModifiedBy>
  <cp:revision>16</cp:revision>
  <cp:lastPrinted>2024-02-12T19:42:00Z</cp:lastPrinted>
  <dcterms:created xsi:type="dcterms:W3CDTF">2024-02-13T21:10:00Z</dcterms:created>
  <dcterms:modified xsi:type="dcterms:W3CDTF">2024-03-08T13:35:00Z</dcterms:modified>
</cp:coreProperties>
</file>